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color w:val="16181D"/>
          <w:sz w:val="48"/>
        </w:rPr>
        <w:t>EMPOWER HVAC</w:t>
      </w:r>
    </w:p>
    <w:p>
      <w:pPr>
        <w:spacing w:after="40"/>
        <w:jc w:val="center"/>
      </w:pPr>
      <w:r>
        <w:rPr>
          <w:rFonts w:ascii="Arial" w:hAnsi="Arial"/>
          <w:b/>
          <w:i w:val="0"/>
          <w:color w:val="1A3F8F"/>
          <w:sz w:val="30"/>
        </w:rPr>
        <w:t>Residential Performance Service Plans</w:t>
      </w:r>
    </w:p>
    <w:p>
      <w:pPr>
        <w:spacing w:after="40"/>
        <w:jc w:val="center"/>
      </w:pPr>
      <w:r>
        <w:rPr>
          <w:rFonts w:ascii="Arial" w:hAnsi="Arial"/>
          <w:b w:val="0"/>
          <w:i/>
          <w:color w:val="5D6470"/>
          <w:sz w:val="22"/>
        </w:rPr>
        <w:t>Engineered Comfort. Documented Performance. Priority Protection.</w:t>
      </w:r>
    </w:p>
    <w:p>
      <w:pPr>
        <w:spacing w:after="200"/>
        <w:jc w:val="center"/>
      </w:pPr>
      <w:r>
        <w:rPr>
          <w:rFonts w:ascii="Arial" w:hAnsi="Arial"/>
          <w:b w:val="0"/>
          <w:i w:val="0"/>
          <w:color w:val="5D6470"/>
          <w:sz w:val="19"/>
        </w:rPr>
        <w:t>Quality without an upsell  ·  720-676-6412</w:t>
      </w:r>
    </w:p>
    <w:p>
      <w:pPr>
        <w:spacing w:after="160"/>
      </w:pPr>
      <w:r>
        <w:rPr>
          <w:rFonts w:ascii="Arial" w:hAnsi="Arial"/>
          <w:b w:val="0"/>
          <w:i w:val="0"/>
          <w:color w:val="16181D"/>
          <w:sz w:val="21"/>
        </w:rPr>
        <w:t>Empower Service serves Front-Range homeowners with structured system oversight and measurable performance standards. All plans include two comprehensive seasonal performance visits annually (spring &amp; fall) — real, documented maintenance, not a discount card.</w:t>
      </w:r>
    </w:p>
    <w:tbl>
      <w:tblPr>
        <w:tblW w:type="auto" w:w="0"/>
        <w:jc w:val="center"/>
        <w:tblLook w:firstColumn="1" w:firstRow="1" w:lastColumn="0" w:lastRow="0" w:noHBand="0" w:noVBand="1" w:val="04A0"/>
      </w:tblPr>
      <w:tblGrid>
        <w:gridCol w:w="9360"/>
      </w:tblGrid>
      <w:tr>
        <w:tc>
          <w:tcPr>
            <w:tcW w:type="dxa" w:w="9360"/>
            <w:shd w:val="clear" w:color="auto" w:fill="FDEEE2"/>
          </w:tcPr>
          <w:p>
            <w:r/>
            <w:r>
              <w:rPr>
                <w:rFonts w:ascii="Arial" w:hAnsi="Arial"/>
                <w:b/>
                <w:color w:val="C25F1C"/>
                <w:sz w:val="22"/>
              </w:rPr>
              <w:t>NEW SYSTEM OWNERS — YEAR ONE FREE</w:t>
            </w:r>
          </w:p>
          <w:p>
            <w:r>
              <w:rPr>
                <w:rFonts w:ascii="Arial" w:hAnsi="Arial"/>
                <w:sz w:val="20"/>
              </w:rPr>
              <w:t>Every new system Empower installs includes the first year of the Performance Plan at no charge. It protects the equipment you just invested in and our workmanship — and it begins a relationship built for the long haul.</w:t>
            </w:r>
          </w:p>
        </w:tc>
      </w:tr>
    </w:tbl>
    <w:p>
      <w:pPr>
        <w:spacing w:after="80"/>
      </w:pPr>
      <w:r>
        <w:rPr>
          <w:rFonts w:ascii="Arial" w:hAnsi="Arial"/>
          <w:b w:val="0"/>
          <w:i w:val="0"/>
          <w:color w:val="16181D"/>
          <w:sz w:val="22"/>
        </w:rPr>
      </w:r>
    </w:p>
    <w:p>
      <w:pPr>
        <w:spacing w:before="320" w:after="80"/>
      </w:pPr>
      <w:r>
        <w:rPr>
          <w:rFonts w:ascii="Arial" w:hAnsi="Arial"/>
          <w:b/>
          <w:color w:val="2F7D4F"/>
          <w:sz w:val="28"/>
        </w:rPr>
        <w:t>Stewardship Plan  —  $450 / year</w:t>
      </w:r>
    </w:p>
    <w:p>
      <w:pPr>
        <w:spacing w:after="80"/>
      </w:pPr>
      <w:r>
        <w:rPr>
          <w:rFonts w:ascii="Arial" w:hAnsi="Arial"/>
          <w:b w:val="0"/>
          <w:i/>
          <w:color w:val="5D6470"/>
          <w:sz w:val="21"/>
        </w:rPr>
        <w:t>Proactive system care &amp; priority access. Designed for structured maintenance and asset protection.</w:t>
      </w:r>
    </w:p>
    <w:p>
      <w:pPr>
        <w:pStyle w:val="ListBullet"/>
        <w:spacing w:after="40"/>
      </w:pPr>
      <w:r>
        <w:rPr>
          <w:rFonts w:ascii="Arial" w:hAnsi="Arial"/>
          <w:sz w:val="21"/>
        </w:rPr>
        <w:t>Two comprehensive seasonal performance visits (spring &amp; fall)</w:t>
      </w:r>
    </w:p>
    <w:p>
      <w:pPr>
        <w:pStyle w:val="ListBullet"/>
        <w:spacing w:after="40"/>
      </w:pPr>
      <w:r>
        <w:rPr>
          <w:rFonts w:ascii="Arial" w:hAnsi="Arial"/>
          <w:sz w:val="21"/>
        </w:rPr>
        <w:t>Full safety &amp; combustion analysis</w:t>
      </w:r>
    </w:p>
    <w:p>
      <w:pPr>
        <w:pStyle w:val="ListBullet"/>
        <w:spacing w:after="40"/>
      </w:pPr>
      <w:r>
        <w:rPr>
          <w:rFonts w:ascii="Arial" w:hAnsi="Arial"/>
          <w:sz w:val="21"/>
        </w:rPr>
        <w:t>Electrical &amp; mechanical inspection</w:t>
      </w:r>
    </w:p>
    <w:p>
      <w:pPr>
        <w:pStyle w:val="ListBullet"/>
        <w:spacing w:after="40"/>
      </w:pPr>
      <w:r>
        <w:rPr>
          <w:rFonts w:ascii="Arial" w:hAnsi="Arial"/>
          <w:sz w:val="21"/>
        </w:rPr>
        <w:t>Refrigerant performance verification</w:t>
      </w:r>
    </w:p>
    <w:p>
      <w:pPr>
        <w:pStyle w:val="ListBullet"/>
        <w:spacing w:after="40"/>
      </w:pPr>
      <w:r>
        <w:rPr>
          <w:rFonts w:ascii="Arial" w:hAnsi="Arial"/>
          <w:sz w:val="21"/>
        </w:rPr>
        <w:t>Condensate system service</w:t>
      </w:r>
    </w:p>
    <w:p>
      <w:pPr>
        <w:pStyle w:val="ListBullet"/>
        <w:spacing w:after="40"/>
      </w:pPr>
      <w:r>
        <w:rPr>
          <w:rFonts w:ascii="Arial" w:hAnsi="Arial"/>
          <w:sz w:val="21"/>
        </w:rPr>
        <w:t>Standard 1" filter replacement</w:t>
      </w:r>
    </w:p>
    <w:p>
      <w:pPr>
        <w:pStyle w:val="ListBullet"/>
        <w:spacing w:after="40"/>
      </w:pPr>
      <w:r>
        <w:rPr>
          <w:rFonts w:ascii="Arial" w:hAnsi="Arial"/>
          <w:sz w:val="21"/>
        </w:rPr>
        <w:t>Priority scheduling</w:t>
      </w:r>
    </w:p>
    <w:p>
      <w:pPr>
        <w:pStyle w:val="ListBullet"/>
        <w:spacing w:after="40"/>
      </w:pPr>
      <w:r>
        <w:rPr>
          <w:rFonts w:ascii="Arial" w:hAnsi="Arial"/>
          <w:sz w:val="21"/>
        </w:rPr>
        <w:t>10% repair savings</w:t>
      </w:r>
    </w:p>
    <w:p>
      <w:pPr>
        <w:pStyle w:val="ListBullet"/>
        <w:spacing w:after="40"/>
      </w:pPr>
      <w:r>
        <w:rPr>
          <w:rFonts w:ascii="Arial" w:hAnsi="Arial"/>
          <w:sz w:val="21"/>
        </w:rPr>
        <w:t>No overtime rate for members</w:t>
      </w:r>
    </w:p>
    <w:p>
      <w:pPr>
        <w:spacing w:before="320" w:after="80"/>
      </w:pPr>
      <w:r>
        <w:rPr>
          <w:rFonts w:ascii="Arial" w:hAnsi="Arial"/>
          <w:b/>
          <w:color w:val="1A3F8F"/>
          <w:sz w:val="28"/>
        </w:rPr>
        <w:t>Performance Plan  —  $720 / year   (most selected)</w:t>
      </w:r>
    </w:p>
    <w:p>
      <w:pPr>
        <w:spacing w:after="80"/>
      </w:pPr>
      <w:r>
        <w:rPr>
          <w:rFonts w:ascii="Arial" w:hAnsi="Arial"/>
          <w:b w:val="0"/>
          <w:i/>
          <w:color w:val="5D6470"/>
          <w:sz w:val="21"/>
        </w:rPr>
        <w:t>Advanced efficiency &amp; comfort optimization. Everything in Stewardship, plus:</w:t>
      </w:r>
    </w:p>
    <w:p>
      <w:pPr>
        <w:pStyle w:val="ListBullet"/>
        <w:spacing w:after="40"/>
      </w:pPr>
      <w:r>
        <w:rPr>
          <w:rFonts w:ascii="Arial" w:hAnsi="Arial"/>
          <w:sz w:val="21"/>
        </w:rPr>
        <w:t>Static pressure testing (every 2 years)</w:t>
      </w:r>
    </w:p>
    <w:p>
      <w:pPr>
        <w:pStyle w:val="ListBullet"/>
        <w:spacing w:after="40"/>
      </w:pPr>
      <w:r>
        <w:rPr>
          <w:rFonts w:ascii="Arial" w:hAnsi="Arial"/>
          <w:sz w:val="21"/>
        </w:rPr>
        <w:t>Airflow verification &amp; balance review</w:t>
      </w:r>
    </w:p>
    <w:p>
      <w:pPr>
        <w:pStyle w:val="ListBullet"/>
        <w:spacing w:after="40"/>
      </w:pPr>
      <w:r>
        <w:rPr>
          <w:rFonts w:ascii="Arial" w:hAnsi="Arial"/>
          <w:sz w:val="21"/>
        </w:rPr>
        <w:t>15% repair savings</w:t>
      </w:r>
    </w:p>
    <w:p>
      <w:pPr>
        <w:pStyle w:val="ListBullet"/>
        <w:spacing w:after="40"/>
      </w:pPr>
      <w:r>
        <w:rPr>
          <w:rFonts w:ascii="Arial" w:hAnsi="Arial"/>
          <w:sz w:val="21"/>
        </w:rPr>
        <w:t>Diagnostic fee waived with repair</w:t>
      </w:r>
    </w:p>
    <w:p>
      <w:pPr>
        <w:pStyle w:val="ListBullet"/>
        <w:spacing w:after="40"/>
      </w:pPr>
      <w:r>
        <w:rPr>
          <w:rFonts w:ascii="Arial" w:hAnsi="Arial"/>
          <w:sz w:val="21"/>
        </w:rPr>
        <w:t>Front-of-line emergency service</w:t>
      </w:r>
    </w:p>
    <w:p>
      <w:pPr>
        <w:pStyle w:val="ListBullet"/>
        <w:spacing w:after="40"/>
      </w:pPr>
      <w:r>
        <w:rPr>
          <w:rFonts w:ascii="Arial" w:hAnsi="Arial"/>
          <w:sz w:val="21"/>
        </w:rPr>
        <w:t>$750 loyalty credit toward system replacement (after 2 consecutive years)</w:t>
      </w:r>
    </w:p>
    <w:p>
      <w:pPr>
        <w:spacing w:after="120"/>
      </w:pPr>
      <w:r>
        <w:rPr>
          <w:rFonts w:ascii="Arial" w:hAnsi="Arial"/>
          <w:b/>
          <w:i w:val="0"/>
          <w:color w:val="C25F1C"/>
          <w:sz w:val="20"/>
        </w:rPr>
        <w:t>Included free for the first year with every new system Empower installs.</w:t>
      </w:r>
    </w:p>
    <w:p>
      <w:pPr>
        <w:spacing w:before="320" w:after="80"/>
      </w:pPr>
      <w:r>
        <w:rPr>
          <w:rFonts w:ascii="Arial" w:hAnsi="Arial"/>
          <w:b/>
          <w:color w:val="C0392B"/>
          <w:sz w:val="28"/>
        </w:rPr>
        <w:t>Signature Plan  —  $1,080 / year</w:t>
      </w:r>
    </w:p>
    <w:p>
      <w:pPr>
        <w:spacing w:after="80"/>
      </w:pPr>
      <w:r>
        <w:rPr>
          <w:rFonts w:ascii="Arial" w:hAnsi="Arial"/>
          <w:b w:val="0"/>
          <w:i/>
          <w:color w:val="5D6470"/>
          <w:sz w:val="21"/>
        </w:rPr>
        <w:t>Comprehensive comfort oversight. Everything in Performance, plus:</w:t>
      </w:r>
    </w:p>
    <w:p>
      <w:pPr>
        <w:pStyle w:val="ListBullet"/>
        <w:spacing w:after="40"/>
      </w:pPr>
      <w:r>
        <w:rPr>
          <w:rFonts w:ascii="Arial" w:hAnsi="Arial"/>
          <w:sz w:val="21"/>
        </w:rPr>
        <w:t>Annual static pressure testing</w:t>
      </w:r>
    </w:p>
    <w:p>
      <w:pPr>
        <w:pStyle w:val="ListBullet"/>
        <w:spacing w:after="40"/>
      </w:pPr>
      <w:r>
        <w:rPr>
          <w:rFonts w:ascii="Arial" w:hAnsi="Arial"/>
          <w:sz w:val="21"/>
        </w:rPr>
        <w:t>Annual indoor air quality assessment</w:t>
      </w:r>
    </w:p>
    <w:p>
      <w:pPr>
        <w:pStyle w:val="ListBullet"/>
        <w:spacing w:after="40"/>
      </w:pPr>
      <w:r>
        <w:rPr>
          <w:rFonts w:ascii="Arial" w:hAnsi="Arial"/>
          <w:sz w:val="21"/>
        </w:rPr>
        <w:t>Advanced airflow analysis annually</w:t>
      </w:r>
    </w:p>
    <w:p>
      <w:pPr>
        <w:pStyle w:val="ListBullet"/>
        <w:spacing w:after="40"/>
      </w:pPr>
      <w:r>
        <w:rPr>
          <w:rFonts w:ascii="Arial" w:hAnsi="Arial"/>
          <w:sz w:val="21"/>
        </w:rPr>
        <w:t>No diagnostic fees</w:t>
      </w:r>
    </w:p>
    <w:p>
      <w:pPr>
        <w:pStyle w:val="ListBullet"/>
        <w:spacing w:after="40"/>
      </w:pPr>
      <w:r>
        <w:rPr>
          <w:rFonts w:ascii="Arial" w:hAnsi="Arial"/>
          <w:sz w:val="21"/>
        </w:rPr>
        <w:t>20% repair savings</w:t>
      </w:r>
    </w:p>
    <w:p>
      <w:pPr>
        <w:pStyle w:val="ListBullet"/>
        <w:spacing w:after="40"/>
      </w:pPr>
      <w:r>
        <w:rPr>
          <w:rFonts w:ascii="Arial" w:hAnsi="Arial"/>
          <w:sz w:val="21"/>
        </w:rPr>
        <w:t>No overtime charges, ever</w:t>
      </w:r>
    </w:p>
    <w:p>
      <w:pPr>
        <w:pStyle w:val="ListBullet"/>
        <w:spacing w:after="40"/>
      </w:pPr>
      <w:r>
        <w:rPr>
          <w:rFonts w:ascii="Arial" w:hAnsi="Arial"/>
          <w:sz w:val="21"/>
        </w:rPr>
        <w:t>Dedicated member scheduling priority</w:t>
      </w:r>
    </w:p>
    <w:p>
      <w:pPr>
        <w:pStyle w:val="ListBullet"/>
        <w:spacing w:after="40"/>
      </w:pPr>
      <w:r>
        <w:rPr>
          <w:rFonts w:ascii="Arial" w:hAnsi="Arial"/>
          <w:sz w:val="21"/>
        </w:rPr>
        <w:t>$1,500 loyalty replacement credit (after 3 consecutive years)</w:t>
      </w:r>
    </w:p>
    <w:p>
      <w:pPr>
        <w:pStyle w:val="ListBullet"/>
        <w:spacing w:after="40"/>
      </w:pPr>
      <w:r>
        <w:rPr>
          <w:rFonts w:ascii="Arial" w:hAnsi="Arial"/>
          <w:sz w:val="21"/>
        </w:rPr>
        <w:t>Transferable to a subsequent homeowner</w:t>
      </w:r>
    </w:p>
    <w:p>
      <w:pPr>
        <w:spacing w:before="280" w:after="80"/>
      </w:pPr>
      <w:r>
        <w:rPr>
          <w:rFonts w:ascii="Arial" w:hAnsi="Arial"/>
          <w:b/>
          <w:color w:val="16181D"/>
          <w:sz w:val="28"/>
        </w:rPr>
        <w:t>Plan Comparison Matrix</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3888"/>
            <w:shd w:val="clear" w:color="auto" w:fill="16181D"/>
          </w:tcPr>
          <w:p>
            <w:r/>
            <w:r>
              <w:rPr>
                <w:rFonts w:ascii="Arial" w:hAnsi="Arial"/>
                <w:b/>
                <w:color w:val="FFFFFF"/>
                <w:sz w:val="19"/>
              </w:rPr>
              <w:t>Feature</w:t>
            </w:r>
          </w:p>
        </w:tc>
        <w:tc>
          <w:tcPr>
            <w:tcW w:type="dxa" w:w="2088"/>
            <w:shd w:val="clear" w:color="auto" w:fill="16181D"/>
          </w:tcPr>
          <w:p>
            <w:r/>
            <w:r>
              <w:rPr>
                <w:rFonts w:ascii="Arial" w:hAnsi="Arial"/>
                <w:b/>
                <w:color w:val="FFFFFF"/>
                <w:sz w:val="19"/>
              </w:rPr>
              <w:t>Stewardship</w:t>
            </w:r>
          </w:p>
        </w:tc>
        <w:tc>
          <w:tcPr>
            <w:tcW w:type="dxa" w:w="2232"/>
            <w:shd w:val="clear" w:color="auto" w:fill="16181D"/>
          </w:tcPr>
          <w:p>
            <w:r/>
            <w:r>
              <w:rPr>
                <w:rFonts w:ascii="Arial" w:hAnsi="Arial"/>
                <w:b/>
                <w:color w:val="FFFFFF"/>
                <w:sz w:val="19"/>
              </w:rPr>
              <w:t>Performance</w:t>
            </w:r>
          </w:p>
        </w:tc>
        <w:tc>
          <w:tcPr>
            <w:tcW w:type="dxa" w:w="2088"/>
            <w:shd w:val="clear" w:color="auto" w:fill="16181D"/>
          </w:tcPr>
          <w:p>
            <w:r/>
            <w:r>
              <w:rPr>
                <w:rFonts w:ascii="Arial" w:hAnsi="Arial"/>
                <w:b/>
                <w:color w:val="FFFFFF"/>
                <w:sz w:val="19"/>
              </w:rPr>
              <w:t>Signature</w:t>
            </w:r>
          </w:p>
        </w:tc>
      </w:tr>
      <w:tr>
        <w:tc>
          <w:tcPr>
            <w:tcW w:type="dxa" w:w="3888"/>
          </w:tcPr>
          <w:p>
            <w:r/>
            <w:r>
              <w:rPr>
                <w:rFonts w:ascii="Arial" w:hAnsi="Arial"/>
                <w:b/>
                <w:color w:val="16181D"/>
                <w:sz w:val="18"/>
              </w:rPr>
              <w:t>2 seasonal performance visits</w:t>
            </w:r>
          </w:p>
        </w:tc>
        <w:tc>
          <w:tcPr>
            <w:tcW w:type="dxa" w:w="2088"/>
            <w:shd w:val="clear" w:color="auto" w:fill="FFFFFF"/>
          </w:tcPr>
          <w:p>
            <w:pPr>
              <w:jc w:val="center"/>
            </w:pPr>
            <w:r/>
            <w:r>
              <w:rPr>
                <w:rFonts w:ascii="Arial" w:hAnsi="Arial"/>
                <w:b w:val="0"/>
                <w:sz w:val="18"/>
              </w:rPr>
              <w:t>✔</w:t>
            </w:r>
          </w:p>
        </w:tc>
        <w:tc>
          <w:tcPr>
            <w:tcW w:type="dxa" w:w="2232"/>
            <w:shd w:val="clear" w:color="auto" w:fill="FFFFFF"/>
          </w:tcPr>
          <w:p>
            <w:pPr>
              <w:jc w:val="center"/>
            </w:pPr>
            <w:r/>
            <w:r>
              <w:rPr>
                <w:rFonts w:ascii="Arial" w:hAnsi="Arial"/>
                <w:b w:val="0"/>
                <w:sz w:val="18"/>
              </w:rPr>
              <w:t>✔</w:t>
            </w:r>
          </w:p>
        </w:tc>
        <w:tc>
          <w:tcPr>
            <w:tcW w:type="dxa" w:w="2088"/>
            <w:shd w:val="clear" w:color="auto" w:fill="FFFFFF"/>
          </w:tcPr>
          <w:p>
            <w:pPr>
              <w:jc w:val="center"/>
            </w:pPr>
            <w:r/>
            <w:r>
              <w:rPr>
                <w:rFonts w:ascii="Arial" w:hAnsi="Arial"/>
                <w:b w:val="0"/>
                <w:sz w:val="18"/>
              </w:rPr>
              <w:t>✔</w:t>
            </w:r>
          </w:p>
        </w:tc>
      </w:tr>
      <w:tr>
        <w:tc>
          <w:tcPr>
            <w:tcW w:type="dxa" w:w="3888"/>
          </w:tcPr>
          <w:p>
            <w:r/>
            <w:r>
              <w:rPr>
                <w:rFonts w:ascii="Arial" w:hAnsi="Arial"/>
                <w:b/>
                <w:color w:val="16181D"/>
                <w:sz w:val="18"/>
              </w:rPr>
              <w:t>Safety &amp; combustion testing</w:t>
            </w:r>
          </w:p>
        </w:tc>
        <w:tc>
          <w:tcPr>
            <w:tcW w:type="dxa" w:w="2088"/>
            <w:shd w:val="clear" w:color="auto" w:fill="F7F9FC"/>
          </w:tcPr>
          <w:p>
            <w:pPr>
              <w:jc w:val="center"/>
            </w:pPr>
            <w:r/>
            <w:r>
              <w:rPr>
                <w:rFonts w:ascii="Arial" w:hAnsi="Arial"/>
                <w:b w:val="0"/>
                <w:sz w:val="18"/>
              </w:rPr>
              <w:t>✔</w:t>
            </w:r>
          </w:p>
        </w:tc>
        <w:tc>
          <w:tcPr>
            <w:tcW w:type="dxa" w:w="2232"/>
            <w:shd w:val="clear" w:color="auto" w:fill="F7F9FC"/>
          </w:tcPr>
          <w:p>
            <w:pPr>
              <w:jc w:val="center"/>
            </w:pPr>
            <w:r/>
            <w:r>
              <w:rPr>
                <w:rFonts w:ascii="Arial" w:hAnsi="Arial"/>
                <w:b w:val="0"/>
                <w:sz w:val="18"/>
              </w:rPr>
              <w:t>✔</w:t>
            </w:r>
          </w:p>
        </w:tc>
        <w:tc>
          <w:tcPr>
            <w:tcW w:type="dxa" w:w="2088"/>
            <w:shd w:val="clear" w:color="auto" w:fill="F7F9FC"/>
          </w:tcPr>
          <w:p>
            <w:pPr>
              <w:jc w:val="center"/>
            </w:pPr>
            <w:r/>
            <w:r>
              <w:rPr>
                <w:rFonts w:ascii="Arial" w:hAnsi="Arial"/>
                <w:b w:val="0"/>
                <w:sz w:val="18"/>
              </w:rPr>
              <w:t>✔</w:t>
            </w:r>
          </w:p>
        </w:tc>
      </w:tr>
      <w:tr>
        <w:tc>
          <w:tcPr>
            <w:tcW w:type="dxa" w:w="3888"/>
          </w:tcPr>
          <w:p>
            <w:r/>
            <w:r>
              <w:rPr>
                <w:rFonts w:ascii="Arial" w:hAnsi="Arial"/>
                <w:b/>
                <w:color w:val="16181D"/>
                <w:sz w:val="18"/>
              </w:rPr>
              <w:t>Refrigerant verification</w:t>
            </w:r>
          </w:p>
        </w:tc>
        <w:tc>
          <w:tcPr>
            <w:tcW w:type="dxa" w:w="2088"/>
            <w:shd w:val="clear" w:color="auto" w:fill="FFFFFF"/>
          </w:tcPr>
          <w:p>
            <w:pPr>
              <w:jc w:val="center"/>
            </w:pPr>
            <w:r/>
            <w:r>
              <w:rPr>
                <w:rFonts w:ascii="Arial" w:hAnsi="Arial"/>
                <w:b w:val="0"/>
                <w:sz w:val="18"/>
              </w:rPr>
              <w:t>✔</w:t>
            </w:r>
          </w:p>
        </w:tc>
        <w:tc>
          <w:tcPr>
            <w:tcW w:type="dxa" w:w="2232"/>
            <w:shd w:val="clear" w:color="auto" w:fill="FFFFFF"/>
          </w:tcPr>
          <w:p>
            <w:pPr>
              <w:jc w:val="center"/>
            </w:pPr>
            <w:r/>
            <w:r>
              <w:rPr>
                <w:rFonts w:ascii="Arial" w:hAnsi="Arial"/>
                <w:b w:val="0"/>
                <w:sz w:val="18"/>
              </w:rPr>
              <w:t>✔</w:t>
            </w:r>
          </w:p>
        </w:tc>
        <w:tc>
          <w:tcPr>
            <w:tcW w:type="dxa" w:w="2088"/>
            <w:shd w:val="clear" w:color="auto" w:fill="FFFFFF"/>
          </w:tcPr>
          <w:p>
            <w:pPr>
              <w:jc w:val="center"/>
            </w:pPr>
            <w:r/>
            <w:r>
              <w:rPr>
                <w:rFonts w:ascii="Arial" w:hAnsi="Arial"/>
                <w:b w:val="0"/>
                <w:sz w:val="18"/>
              </w:rPr>
              <w:t>✔</w:t>
            </w:r>
          </w:p>
        </w:tc>
      </w:tr>
      <w:tr>
        <w:tc>
          <w:tcPr>
            <w:tcW w:type="dxa" w:w="3888"/>
          </w:tcPr>
          <w:p>
            <w:r/>
            <w:r>
              <w:rPr>
                <w:rFonts w:ascii="Arial" w:hAnsi="Arial"/>
                <w:b/>
                <w:color w:val="16181D"/>
                <w:sz w:val="18"/>
              </w:rPr>
              <w:t>Priority scheduling</w:t>
            </w:r>
          </w:p>
        </w:tc>
        <w:tc>
          <w:tcPr>
            <w:tcW w:type="dxa" w:w="2088"/>
            <w:shd w:val="clear" w:color="auto" w:fill="F7F9FC"/>
          </w:tcPr>
          <w:p>
            <w:pPr>
              <w:jc w:val="center"/>
            </w:pPr>
            <w:r/>
            <w:r>
              <w:rPr>
                <w:rFonts w:ascii="Arial" w:hAnsi="Arial"/>
                <w:b w:val="0"/>
                <w:sz w:val="18"/>
              </w:rPr>
              <w:t>✔</w:t>
            </w:r>
          </w:p>
        </w:tc>
        <w:tc>
          <w:tcPr>
            <w:tcW w:type="dxa" w:w="2232"/>
            <w:shd w:val="clear" w:color="auto" w:fill="F7F9FC"/>
          </w:tcPr>
          <w:p>
            <w:pPr>
              <w:jc w:val="center"/>
            </w:pPr>
            <w:r/>
            <w:r>
              <w:rPr>
                <w:rFonts w:ascii="Arial" w:hAnsi="Arial"/>
                <w:b w:val="0"/>
                <w:sz w:val="18"/>
              </w:rPr>
              <w:t>✔</w:t>
            </w:r>
          </w:p>
        </w:tc>
        <w:tc>
          <w:tcPr>
            <w:tcW w:type="dxa" w:w="2088"/>
            <w:shd w:val="clear" w:color="auto" w:fill="F7F9FC"/>
          </w:tcPr>
          <w:p>
            <w:pPr>
              <w:jc w:val="center"/>
            </w:pPr>
            <w:r/>
            <w:r>
              <w:rPr>
                <w:rFonts w:ascii="Arial" w:hAnsi="Arial"/>
                <w:b w:val="0"/>
                <w:sz w:val="18"/>
              </w:rPr>
              <w:t>✔</w:t>
            </w:r>
          </w:p>
        </w:tc>
      </w:tr>
      <w:tr>
        <w:tc>
          <w:tcPr>
            <w:tcW w:type="dxa" w:w="3888"/>
          </w:tcPr>
          <w:p>
            <w:r/>
            <w:r>
              <w:rPr>
                <w:rFonts w:ascii="Arial" w:hAnsi="Arial"/>
                <w:b/>
                <w:color w:val="16181D"/>
                <w:sz w:val="18"/>
              </w:rPr>
              <w:t>Repair savings</w:t>
            </w:r>
          </w:p>
        </w:tc>
        <w:tc>
          <w:tcPr>
            <w:tcW w:type="dxa" w:w="2088"/>
            <w:shd w:val="clear" w:color="auto" w:fill="FFFFFF"/>
          </w:tcPr>
          <w:p>
            <w:pPr>
              <w:jc w:val="center"/>
            </w:pPr>
            <w:r/>
            <w:r>
              <w:rPr>
                <w:rFonts w:ascii="Arial" w:hAnsi="Arial"/>
                <w:b w:val="0"/>
                <w:sz w:val="18"/>
              </w:rPr>
              <w:t>10%</w:t>
            </w:r>
          </w:p>
        </w:tc>
        <w:tc>
          <w:tcPr>
            <w:tcW w:type="dxa" w:w="2232"/>
            <w:shd w:val="clear" w:color="auto" w:fill="FFFFFF"/>
          </w:tcPr>
          <w:p>
            <w:pPr>
              <w:jc w:val="center"/>
            </w:pPr>
            <w:r/>
            <w:r>
              <w:rPr>
                <w:rFonts w:ascii="Arial" w:hAnsi="Arial"/>
                <w:b w:val="0"/>
                <w:sz w:val="18"/>
              </w:rPr>
              <w:t>15%</w:t>
            </w:r>
          </w:p>
        </w:tc>
        <w:tc>
          <w:tcPr>
            <w:tcW w:type="dxa" w:w="2088"/>
            <w:shd w:val="clear" w:color="auto" w:fill="FFFFFF"/>
          </w:tcPr>
          <w:p>
            <w:pPr>
              <w:jc w:val="center"/>
            </w:pPr>
            <w:r/>
            <w:r>
              <w:rPr>
                <w:rFonts w:ascii="Arial" w:hAnsi="Arial"/>
                <w:b w:val="0"/>
                <w:sz w:val="18"/>
              </w:rPr>
              <w:t>20%</w:t>
            </w:r>
          </w:p>
        </w:tc>
      </w:tr>
      <w:tr>
        <w:tc>
          <w:tcPr>
            <w:tcW w:type="dxa" w:w="3888"/>
          </w:tcPr>
          <w:p>
            <w:r/>
            <w:r>
              <w:rPr>
                <w:rFonts w:ascii="Arial" w:hAnsi="Arial"/>
                <w:b/>
                <w:color w:val="16181D"/>
                <w:sz w:val="18"/>
              </w:rPr>
              <w:t>Static pressure testing</w:t>
            </w:r>
          </w:p>
        </w:tc>
        <w:tc>
          <w:tcPr>
            <w:tcW w:type="dxa" w:w="2088"/>
            <w:shd w:val="clear" w:color="auto" w:fill="F7F9FC"/>
          </w:tcPr>
          <w:p>
            <w:pPr>
              <w:jc w:val="center"/>
            </w:pPr>
            <w:r/>
            <w:r>
              <w:rPr>
                <w:rFonts w:ascii="Arial" w:hAnsi="Arial"/>
                <w:b w:val="0"/>
                <w:sz w:val="18"/>
              </w:rPr>
              <w:t>—</w:t>
            </w:r>
          </w:p>
        </w:tc>
        <w:tc>
          <w:tcPr>
            <w:tcW w:type="dxa" w:w="2232"/>
            <w:shd w:val="clear" w:color="auto" w:fill="F7F9FC"/>
          </w:tcPr>
          <w:p>
            <w:pPr>
              <w:jc w:val="center"/>
            </w:pPr>
            <w:r/>
            <w:r>
              <w:rPr>
                <w:rFonts w:ascii="Arial" w:hAnsi="Arial"/>
                <w:b w:val="0"/>
                <w:sz w:val="18"/>
              </w:rPr>
              <w:t>Every 2 years</w:t>
            </w:r>
          </w:p>
        </w:tc>
        <w:tc>
          <w:tcPr>
            <w:tcW w:type="dxa" w:w="2088"/>
            <w:shd w:val="clear" w:color="auto" w:fill="F7F9FC"/>
          </w:tcPr>
          <w:p>
            <w:pPr>
              <w:jc w:val="center"/>
            </w:pPr>
            <w:r/>
            <w:r>
              <w:rPr>
                <w:rFonts w:ascii="Arial" w:hAnsi="Arial"/>
                <w:b w:val="0"/>
                <w:sz w:val="18"/>
              </w:rPr>
              <w:t>Annually</w:t>
            </w:r>
          </w:p>
        </w:tc>
      </w:tr>
      <w:tr>
        <w:tc>
          <w:tcPr>
            <w:tcW w:type="dxa" w:w="3888"/>
          </w:tcPr>
          <w:p>
            <w:r/>
            <w:r>
              <w:rPr>
                <w:rFonts w:ascii="Arial" w:hAnsi="Arial"/>
                <w:b/>
                <w:color w:val="16181D"/>
                <w:sz w:val="18"/>
              </w:rPr>
              <w:t>Airflow verification</w:t>
            </w:r>
          </w:p>
        </w:tc>
        <w:tc>
          <w:tcPr>
            <w:tcW w:type="dxa" w:w="2088"/>
            <w:shd w:val="clear" w:color="auto" w:fill="FFFFFF"/>
          </w:tcPr>
          <w:p>
            <w:pPr>
              <w:jc w:val="center"/>
            </w:pPr>
            <w:r/>
            <w:r>
              <w:rPr>
                <w:rFonts w:ascii="Arial" w:hAnsi="Arial"/>
                <w:b w:val="0"/>
                <w:sz w:val="18"/>
              </w:rPr>
              <w:t>—</w:t>
            </w:r>
          </w:p>
        </w:tc>
        <w:tc>
          <w:tcPr>
            <w:tcW w:type="dxa" w:w="2232"/>
            <w:shd w:val="clear" w:color="auto" w:fill="FFFFFF"/>
          </w:tcPr>
          <w:p>
            <w:pPr>
              <w:jc w:val="center"/>
            </w:pPr>
            <w:r/>
            <w:r>
              <w:rPr>
                <w:rFonts w:ascii="Arial" w:hAnsi="Arial"/>
                <w:b w:val="0"/>
                <w:sz w:val="18"/>
              </w:rPr>
              <w:t>✔</w:t>
            </w:r>
          </w:p>
        </w:tc>
        <w:tc>
          <w:tcPr>
            <w:tcW w:type="dxa" w:w="2088"/>
            <w:shd w:val="clear" w:color="auto" w:fill="FFFFFF"/>
          </w:tcPr>
          <w:p>
            <w:pPr>
              <w:jc w:val="center"/>
            </w:pPr>
            <w:r/>
            <w:r>
              <w:rPr>
                <w:rFonts w:ascii="Arial" w:hAnsi="Arial"/>
                <w:b w:val="0"/>
                <w:sz w:val="18"/>
              </w:rPr>
              <w:t>Advanced annual</w:t>
            </w:r>
          </w:p>
        </w:tc>
      </w:tr>
      <w:tr>
        <w:tc>
          <w:tcPr>
            <w:tcW w:type="dxa" w:w="3888"/>
          </w:tcPr>
          <w:p>
            <w:r/>
            <w:r>
              <w:rPr>
                <w:rFonts w:ascii="Arial" w:hAnsi="Arial"/>
                <w:b/>
                <w:color w:val="16181D"/>
                <w:sz w:val="18"/>
              </w:rPr>
              <w:t>IAQ testing</w:t>
            </w:r>
          </w:p>
        </w:tc>
        <w:tc>
          <w:tcPr>
            <w:tcW w:type="dxa" w:w="2088"/>
            <w:shd w:val="clear" w:color="auto" w:fill="F7F9FC"/>
          </w:tcPr>
          <w:p>
            <w:pPr>
              <w:jc w:val="center"/>
            </w:pPr>
            <w:r/>
            <w:r>
              <w:rPr>
                <w:rFonts w:ascii="Arial" w:hAnsi="Arial"/>
                <w:b w:val="0"/>
                <w:sz w:val="18"/>
              </w:rPr>
              <w:t>—</w:t>
            </w:r>
          </w:p>
        </w:tc>
        <w:tc>
          <w:tcPr>
            <w:tcW w:type="dxa" w:w="2232"/>
            <w:shd w:val="clear" w:color="auto" w:fill="F7F9FC"/>
          </w:tcPr>
          <w:p>
            <w:pPr>
              <w:jc w:val="center"/>
            </w:pPr>
            <w:r/>
            <w:r>
              <w:rPr>
                <w:rFonts w:ascii="Arial" w:hAnsi="Arial"/>
                <w:b w:val="0"/>
                <w:sz w:val="18"/>
              </w:rPr>
              <w:t>—</w:t>
            </w:r>
          </w:p>
        </w:tc>
        <w:tc>
          <w:tcPr>
            <w:tcW w:type="dxa" w:w="2088"/>
            <w:shd w:val="clear" w:color="auto" w:fill="F7F9FC"/>
          </w:tcPr>
          <w:p>
            <w:pPr>
              <w:jc w:val="center"/>
            </w:pPr>
            <w:r/>
            <w:r>
              <w:rPr>
                <w:rFonts w:ascii="Arial" w:hAnsi="Arial"/>
                <w:b w:val="0"/>
                <w:sz w:val="18"/>
              </w:rPr>
              <w:t>Annual</w:t>
            </w:r>
          </w:p>
        </w:tc>
      </w:tr>
      <w:tr>
        <w:tc>
          <w:tcPr>
            <w:tcW w:type="dxa" w:w="3888"/>
          </w:tcPr>
          <w:p>
            <w:r/>
            <w:r>
              <w:rPr>
                <w:rFonts w:ascii="Arial" w:hAnsi="Arial"/>
                <w:b/>
                <w:color w:val="16181D"/>
                <w:sz w:val="18"/>
              </w:rPr>
              <w:t>Diagnostic fees waived</w:t>
            </w:r>
          </w:p>
        </w:tc>
        <w:tc>
          <w:tcPr>
            <w:tcW w:type="dxa" w:w="2088"/>
            <w:shd w:val="clear" w:color="auto" w:fill="FFFFFF"/>
          </w:tcPr>
          <w:p>
            <w:pPr>
              <w:jc w:val="center"/>
            </w:pPr>
            <w:r/>
            <w:r>
              <w:rPr>
                <w:rFonts w:ascii="Arial" w:hAnsi="Arial"/>
                <w:b w:val="0"/>
                <w:sz w:val="18"/>
              </w:rPr>
              <w:t>—</w:t>
            </w:r>
          </w:p>
        </w:tc>
        <w:tc>
          <w:tcPr>
            <w:tcW w:type="dxa" w:w="2232"/>
            <w:shd w:val="clear" w:color="auto" w:fill="FFFFFF"/>
          </w:tcPr>
          <w:p>
            <w:pPr>
              <w:jc w:val="center"/>
            </w:pPr>
            <w:r/>
            <w:r>
              <w:rPr>
                <w:rFonts w:ascii="Arial" w:hAnsi="Arial"/>
                <w:b w:val="0"/>
                <w:sz w:val="18"/>
              </w:rPr>
              <w:t>With repair</w:t>
            </w:r>
          </w:p>
        </w:tc>
        <w:tc>
          <w:tcPr>
            <w:tcW w:type="dxa" w:w="2088"/>
            <w:shd w:val="clear" w:color="auto" w:fill="FFFFFF"/>
          </w:tcPr>
          <w:p>
            <w:pPr>
              <w:jc w:val="center"/>
            </w:pPr>
            <w:r/>
            <w:r>
              <w:rPr>
                <w:rFonts w:ascii="Arial" w:hAnsi="Arial"/>
                <w:b w:val="0"/>
                <w:sz w:val="18"/>
              </w:rPr>
              <w:t>Always</w:t>
            </w:r>
          </w:p>
        </w:tc>
      </w:tr>
      <w:tr>
        <w:tc>
          <w:tcPr>
            <w:tcW w:type="dxa" w:w="3888"/>
          </w:tcPr>
          <w:p>
            <w:r/>
            <w:r>
              <w:rPr>
                <w:rFonts w:ascii="Arial" w:hAnsi="Arial"/>
                <w:b/>
                <w:color w:val="16181D"/>
                <w:sz w:val="18"/>
              </w:rPr>
              <w:t>Overtime charges</w:t>
            </w:r>
          </w:p>
        </w:tc>
        <w:tc>
          <w:tcPr>
            <w:tcW w:type="dxa" w:w="2088"/>
            <w:shd w:val="clear" w:color="auto" w:fill="F7F9FC"/>
          </w:tcPr>
          <w:p>
            <w:pPr>
              <w:jc w:val="center"/>
            </w:pPr>
            <w:r/>
            <w:r>
              <w:rPr>
                <w:rFonts w:ascii="Arial" w:hAnsi="Arial"/>
                <w:b w:val="0"/>
                <w:sz w:val="18"/>
              </w:rPr>
              <w:t>No overtime rate</w:t>
            </w:r>
          </w:p>
        </w:tc>
        <w:tc>
          <w:tcPr>
            <w:tcW w:type="dxa" w:w="2232"/>
            <w:shd w:val="clear" w:color="auto" w:fill="F7F9FC"/>
          </w:tcPr>
          <w:p>
            <w:pPr>
              <w:jc w:val="center"/>
            </w:pPr>
            <w:r/>
            <w:r>
              <w:rPr>
                <w:rFonts w:ascii="Arial" w:hAnsi="Arial"/>
                <w:b w:val="0"/>
                <w:sz w:val="18"/>
              </w:rPr>
              <w:t>No overtime rate</w:t>
            </w:r>
          </w:p>
        </w:tc>
        <w:tc>
          <w:tcPr>
            <w:tcW w:type="dxa" w:w="2088"/>
            <w:shd w:val="clear" w:color="auto" w:fill="F7F9FC"/>
          </w:tcPr>
          <w:p>
            <w:pPr>
              <w:jc w:val="center"/>
            </w:pPr>
            <w:r/>
            <w:r>
              <w:rPr>
                <w:rFonts w:ascii="Arial" w:hAnsi="Arial"/>
                <w:b w:val="0"/>
                <w:sz w:val="18"/>
              </w:rPr>
              <w:t>Never charged</w:t>
            </w:r>
          </w:p>
        </w:tc>
      </w:tr>
      <w:tr>
        <w:tc>
          <w:tcPr>
            <w:tcW w:type="dxa" w:w="3888"/>
          </w:tcPr>
          <w:p>
            <w:r/>
            <w:r>
              <w:rPr>
                <w:rFonts w:ascii="Arial" w:hAnsi="Arial"/>
                <w:b/>
                <w:color w:val="16181D"/>
                <w:sz w:val="18"/>
              </w:rPr>
              <w:t>Replacement loyalty credit</w:t>
            </w:r>
          </w:p>
        </w:tc>
        <w:tc>
          <w:tcPr>
            <w:tcW w:type="dxa" w:w="2088"/>
            <w:shd w:val="clear" w:color="auto" w:fill="FFFFFF"/>
          </w:tcPr>
          <w:p>
            <w:pPr>
              <w:jc w:val="center"/>
            </w:pPr>
            <w:r/>
            <w:r>
              <w:rPr>
                <w:rFonts w:ascii="Arial" w:hAnsi="Arial"/>
                <w:b w:val="0"/>
                <w:sz w:val="18"/>
              </w:rPr>
              <w:t>—</w:t>
            </w:r>
          </w:p>
        </w:tc>
        <w:tc>
          <w:tcPr>
            <w:tcW w:type="dxa" w:w="2232"/>
            <w:shd w:val="clear" w:color="auto" w:fill="FFFFFF"/>
          </w:tcPr>
          <w:p>
            <w:pPr>
              <w:jc w:val="center"/>
            </w:pPr>
            <w:r/>
            <w:r>
              <w:rPr>
                <w:rFonts w:ascii="Arial" w:hAnsi="Arial"/>
                <w:b w:val="0"/>
                <w:sz w:val="18"/>
              </w:rPr>
              <w:t>$750</w:t>
            </w:r>
          </w:p>
        </w:tc>
        <w:tc>
          <w:tcPr>
            <w:tcW w:type="dxa" w:w="2088"/>
            <w:shd w:val="clear" w:color="auto" w:fill="FFFFFF"/>
          </w:tcPr>
          <w:p>
            <w:pPr>
              <w:jc w:val="center"/>
            </w:pPr>
            <w:r/>
            <w:r>
              <w:rPr>
                <w:rFonts w:ascii="Arial" w:hAnsi="Arial"/>
                <w:b w:val="0"/>
                <w:sz w:val="18"/>
              </w:rPr>
              <w:t>$1,500</w:t>
            </w:r>
          </w:p>
        </w:tc>
      </w:tr>
      <w:tr>
        <w:tc>
          <w:tcPr>
            <w:tcW w:type="dxa" w:w="3888"/>
          </w:tcPr>
          <w:p>
            <w:r/>
            <w:r>
              <w:rPr>
                <w:rFonts w:ascii="Arial" w:hAnsi="Arial"/>
                <w:b/>
                <w:color w:val="16181D"/>
                <w:sz w:val="18"/>
              </w:rPr>
              <w:t>Transferable</w:t>
            </w:r>
          </w:p>
        </w:tc>
        <w:tc>
          <w:tcPr>
            <w:tcW w:type="dxa" w:w="2088"/>
            <w:shd w:val="clear" w:color="auto" w:fill="F7F9FC"/>
          </w:tcPr>
          <w:p>
            <w:pPr>
              <w:jc w:val="center"/>
            </w:pPr>
            <w:r/>
            <w:r>
              <w:rPr>
                <w:rFonts w:ascii="Arial" w:hAnsi="Arial"/>
                <w:b w:val="0"/>
                <w:sz w:val="18"/>
              </w:rPr>
              <w:t>—</w:t>
            </w:r>
          </w:p>
        </w:tc>
        <w:tc>
          <w:tcPr>
            <w:tcW w:type="dxa" w:w="2232"/>
            <w:shd w:val="clear" w:color="auto" w:fill="F7F9FC"/>
          </w:tcPr>
          <w:p>
            <w:pPr>
              <w:jc w:val="center"/>
            </w:pPr>
            <w:r/>
            <w:r>
              <w:rPr>
                <w:rFonts w:ascii="Arial" w:hAnsi="Arial"/>
                <w:b w:val="0"/>
                <w:sz w:val="18"/>
              </w:rPr>
              <w:t>—</w:t>
            </w:r>
          </w:p>
        </w:tc>
        <w:tc>
          <w:tcPr>
            <w:tcW w:type="dxa" w:w="2088"/>
            <w:shd w:val="clear" w:color="auto" w:fill="F7F9FC"/>
          </w:tcPr>
          <w:p>
            <w:pPr>
              <w:jc w:val="center"/>
            </w:pPr>
            <w:r/>
            <w:r>
              <w:rPr>
                <w:rFonts w:ascii="Arial" w:hAnsi="Arial"/>
                <w:b w:val="0"/>
                <w:sz w:val="18"/>
              </w:rPr>
              <w:t>✔</w:t>
            </w:r>
          </w:p>
        </w:tc>
      </w:tr>
      <w:tr>
        <w:tc>
          <w:tcPr>
            <w:tcW w:type="dxa" w:w="3888"/>
          </w:tcPr>
          <w:p>
            <w:r/>
            <w:r>
              <w:rPr>
                <w:rFonts w:ascii="Arial" w:hAnsi="Arial"/>
                <w:b/>
                <w:color w:val="16181D"/>
                <w:sz w:val="18"/>
              </w:rPr>
              <w:t>Year 1 free with new install</w:t>
            </w:r>
          </w:p>
        </w:tc>
        <w:tc>
          <w:tcPr>
            <w:tcW w:type="dxa" w:w="2088"/>
            <w:shd w:val="clear" w:color="auto" w:fill="FFFFFF"/>
          </w:tcPr>
          <w:p>
            <w:pPr>
              <w:jc w:val="center"/>
            </w:pPr>
            <w:r/>
            <w:r>
              <w:rPr>
                <w:rFonts w:ascii="Arial" w:hAnsi="Arial"/>
                <w:b w:val="0"/>
                <w:sz w:val="18"/>
              </w:rPr>
              <w:t>—</w:t>
            </w:r>
          </w:p>
        </w:tc>
        <w:tc>
          <w:tcPr>
            <w:tcW w:type="dxa" w:w="2232"/>
            <w:shd w:val="clear" w:color="auto" w:fill="FFFFFF"/>
          </w:tcPr>
          <w:p>
            <w:pPr>
              <w:jc w:val="center"/>
            </w:pPr>
            <w:r/>
            <w:r>
              <w:rPr>
                <w:rFonts w:ascii="Arial" w:hAnsi="Arial"/>
                <w:b w:val="0"/>
                <w:sz w:val="18"/>
              </w:rPr>
              <w:t>Included</w:t>
            </w:r>
          </w:p>
        </w:tc>
        <w:tc>
          <w:tcPr>
            <w:tcW w:type="dxa" w:w="2088"/>
            <w:shd w:val="clear" w:color="auto" w:fill="FFFFFF"/>
          </w:tcPr>
          <w:p>
            <w:pPr>
              <w:jc w:val="center"/>
            </w:pPr>
            <w:r/>
            <w:r>
              <w:rPr>
                <w:rFonts w:ascii="Arial" w:hAnsi="Arial"/>
                <w:b w:val="0"/>
                <w:sz w:val="18"/>
              </w:rPr>
              <w:t>—</w:t>
            </w:r>
          </w:p>
        </w:tc>
      </w:tr>
      <w:tr>
        <w:tc>
          <w:tcPr>
            <w:tcW w:type="dxa" w:w="3888"/>
          </w:tcPr>
          <w:p>
            <w:r/>
            <w:r>
              <w:rPr>
                <w:rFonts w:ascii="Arial" w:hAnsi="Arial"/>
                <w:b/>
                <w:color w:val="16181D"/>
                <w:sz w:val="18"/>
              </w:rPr>
              <w:t>Annual investment</w:t>
            </w:r>
          </w:p>
        </w:tc>
        <w:tc>
          <w:tcPr>
            <w:tcW w:type="dxa" w:w="2088"/>
            <w:shd w:val="clear" w:color="auto" w:fill="F7F9FC"/>
          </w:tcPr>
          <w:p>
            <w:pPr>
              <w:jc w:val="center"/>
            </w:pPr>
            <w:r/>
            <w:r>
              <w:rPr>
                <w:rFonts w:ascii="Arial" w:hAnsi="Arial"/>
                <w:b w:val="0"/>
                <w:sz w:val="18"/>
              </w:rPr>
              <w:t>$450</w:t>
            </w:r>
          </w:p>
        </w:tc>
        <w:tc>
          <w:tcPr>
            <w:tcW w:type="dxa" w:w="2232"/>
            <w:shd w:val="clear" w:color="auto" w:fill="F7F9FC"/>
          </w:tcPr>
          <w:p>
            <w:pPr>
              <w:jc w:val="center"/>
            </w:pPr>
            <w:r/>
            <w:r>
              <w:rPr>
                <w:rFonts w:ascii="Arial" w:hAnsi="Arial"/>
                <w:b w:val="0"/>
                <w:sz w:val="18"/>
              </w:rPr>
              <w:t>$720</w:t>
            </w:r>
          </w:p>
        </w:tc>
        <w:tc>
          <w:tcPr>
            <w:tcW w:type="dxa" w:w="2088"/>
            <w:shd w:val="clear" w:color="auto" w:fill="F7F9FC"/>
          </w:tcPr>
          <w:p>
            <w:pPr>
              <w:jc w:val="center"/>
            </w:pPr>
            <w:r/>
            <w:r>
              <w:rPr>
                <w:rFonts w:ascii="Arial" w:hAnsi="Arial"/>
                <w:b w:val="0"/>
                <w:sz w:val="18"/>
              </w:rPr>
              <w:t>$1,080</w:t>
            </w:r>
          </w:p>
        </w:tc>
      </w:tr>
    </w:tbl>
    <w:p>
      <w:pPr>
        <w:spacing w:after="40"/>
      </w:pPr>
      <w:r>
        <w:rPr>
          <w:rFonts w:ascii="Arial" w:hAnsi="Arial"/>
          <w:b w:val="0"/>
          <w:i/>
          <w:color w:val="5D6470"/>
          <w:sz w:val="17"/>
        </w:rPr>
        <w:t>Loyalty credits have no cash value, apply only toward a qualifying system replacement, require continuous membership, and expire upon lapse of coverage.</w:t>
      </w:r>
    </w:p>
    <w:p>
      <w:r>
        <w:br w:type="page"/>
      </w:r>
    </w:p>
    <w:p>
      <w:pPr>
        <w:jc w:val="center"/>
      </w:pPr>
      <w:r>
        <w:rPr>
          <w:rFonts w:ascii="Arial" w:hAnsi="Arial"/>
          <w:b/>
          <w:color w:val="16181D"/>
          <w:sz w:val="36"/>
        </w:rPr>
        <w:t>EMPOWER HVAC</w:t>
      </w:r>
    </w:p>
    <w:p>
      <w:pPr>
        <w:spacing w:after="160"/>
        <w:jc w:val="center"/>
      </w:pPr>
      <w:r>
        <w:rPr>
          <w:rFonts w:ascii="Arial" w:hAnsi="Arial"/>
          <w:b/>
          <w:i w:val="0"/>
          <w:color w:val="1A3F8F"/>
          <w:sz w:val="28"/>
        </w:rPr>
        <w:t>Residential Performance Service Plan Agreement</w:t>
      </w:r>
    </w:p>
    <w:p>
      <w:pPr>
        <w:spacing w:after="80"/>
      </w:pPr>
      <w:r>
        <w:rPr>
          <w:rFonts w:ascii="Arial" w:hAnsi="Arial"/>
          <w:b w:val="0"/>
          <w:i w:val="0"/>
          <w:color w:val="16181D"/>
          <w:sz w:val="22"/>
        </w:rPr>
        <w:t>This Residential Performance Service Plan Agreement (“Agreement”) is entered into between Empower Service (“Company”) and the Client identified below.</w:t>
      </w:r>
    </w:p>
    <w:p>
      <w:pPr>
        <w:spacing w:after="40"/>
      </w:pPr>
      <w:r>
        <w:rPr>
          <w:rFonts w:ascii="Arial" w:hAnsi="Arial"/>
          <w:b w:val="0"/>
          <w:i w:val="0"/>
          <w:color w:val="16181D"/>
          <w:sz w:val="22"/>
        </w:rPr>
        <w:t>Client: ______________________________________</w:t>
      </w:r>
    </w:p>
    <w:p>
      <w:pPr>
        <w:spacing w:after="40"/>
      </w:pPr>
      <w:r>
        <w:rPr>
          <w:rFonts w:ascii="Arial" w:hAnsi="Arial"/>
          <w:b w:val="0"/>
          <w:i w:val="0"/>
          <w:color w:val="16181D"/>
          <w:sz w:val="22"/>
        </w:rPr>
        <w:t>Service Property Address: ______________________________________</w:t>
      </w:r>
    </w:p>
    <w:p>
      <w:pPr>
        <w:spacing w:after="160"/>
      </w:pPr>
      <w:r>
        <w:rPr>
          <w:rFonts w:ascii="Arial" w:hAnsi="Arial"/>
          <w:b w:val="0"/>
          <w:i w:val="0"/>
          <w:color w:val="16181D"/>
          <w:sz w:val="22"/>
        </w:rPr>
        <w:t>Effective Date: ___________________</w:t>
      </w:r>
    </w:p>
    <w:p>
      <w:pPr>
        <w:spacing w:before="200" w:after="60"/>
      </w:pPr>
      <w:r>
        <w:rPr>
          <w:rFonts w:ascii="Arial" w:hAnsi="Arial"/>
          <w:b/>
          <w:color w:val="16181D"/>
          <w:sz w:val="24"/>
        </w:rPr>
        <w:t>1. Purpose of Agreement</w:t>
      </w:r>
    </w:p>
    <w:p>
      <w:pPr>
        <w:spacing w:after="80"/>
      </w:pPr>
      <w:r>
        <w:rPr>
          <w:rFonts w:ascii="Arial" w:hAnsi="Arial"/>
          <w:b w:val="0"/>
          <w:i w:val="0"/>
          <w:color w:val="16181D"/>
          <w:sz w:val="21"/>
        </w:rPr>
        <w:t>This Agreement outlines the services, benefits, and protections included in the selected Residential Performance Service Plan. Empower Service is committed to providing professional, measured, and documented system oversight consistent with the selected plan tier.</w:t>
      </w:r>
    </w:p>
    <w:p>
      <w:pPr>
        <w:spacing w:before="200" w:after="60"/>
      </w:pPr>
      <w:r>
        <w:rPr>
          <w:rFonts w:ascii="Arial" w:hAnsi="Arial"/>
          <w:b/>
          <w:color w:val="16181D"/>
          <w:sz w:val="24"/>
        </w:rPr>
        <w:t>2. Plan Selection</w:t>
      </w:r>
    </w:p>
    <w:p>
      <w:pPr>
        <w:spacing w:after="80"/>
      </w:pPr>
      <w:r>
        <w:rPr>
          <w:rFonts w:ascii="Arial" w:hAnsi="Arial"/>
          <w:b w:val="0"/>
          <w:i w:val="0"/>
          <w:color w:val="16181D"/>
          <w:sz w:val="21"/>
        </w:rPr>
        <w:t>Client selects the following annual plan:</w:t>
      </w:r>
    </w:p>
    <w:p>
      <w:pPr>
        <w:spacing w:after="40"/>
      </w:pPr>
      <w:r>
        <w:rPr>
          <w:rFonts w:ascii="Arial" w:hAnsi="Arial"/>
          <w:b w:val="0"/>
          <w:i w:val="0"/>
          <w:color w:val="16181D"/>
          <w:sz w:val="21"/>
        </w:rPr>
        <w:t>☐  Stewardship Plan – $450/year</w:t>
      </w:r>
    </w:p>
    <w:p>
      <w:pPr>
        <w:spacing w:after="40"/>
      </w:pPr>
      <w:r>
        <w:rPr>
          <w:rFonts w:ascii="Arial" w:hAnsi="Arial"/>
          <w:b w:val="0"/>
          <w:i w:val="0"/>
          <w:color w:val="16181D"/>
          <w:sz w:val="21"/>
        </w:rPr>
        <w:t>☐  Performance Plan – $720/year</w:t>
      </w:r>
    </w:p>
    <w:p>
      <w:pPr>
        <w:spacing w:after="40"/>
      </w:pPr>
      <w:r>
        <w:rPr>
          <w:rFonts w:ascii="Arial" w:hAnsi="Arial"/>
          <w:b w:val="0"/>
          <w:i w:val="0"/>
          <w:color w:val="16181D"/>
          <w:sz w:val="21"/>
        </w:rPr>
        <w:t>☐  Signature Plan – $1,080/year</w:t>
      </w:r>
    </w:p>
    <w:p>
      <w:pPr>
        <w:spacing w:after="80"/>
      </w:pPr>
      <w:r>
        <w:rPr>
          <w:rFonts w:ascii="Arial" w:hAnsi="Arial"/>
          <w:b w:val="0"/>
          <w:i w:val="0"/>
          <w:color w:val="16181D"/>
          <w:sz w:val="21"/>
        </w:rPr>
        <w:t>New system installs: the first year of the Performance Plan is included at no charge. Plan details are described in the attached Plan Summary, which is incorporated into this Agreement.</w:t>
      </w:r>
    </w:p>
    <w:p>
      <w:pPr>
        <w:spacing w:before="200" w:after="60"/>
      </w:pPr>
      <w:r>
        <w:rPr>
          <w:rFonts w:ascii="Arial" w:hAnsi="Arial"/>
          <w:b/>
          <w:color w:val="16181D"/>
          <w:sz w:val="24"/>
        </w:rPr>
        <w:t>3. Term &amp; Renewal</w:t>
      </w:r>
    </w:p>
    <w:p>
      <w:pPr>
        <w:spacing w:after="80"/>
      </w:pPr>
      <w:r>
        <w:rPr>
          <w:rFonts w:ascii="Arial" w:hAnsi="Arial"/>
          <w:b w:val="0"/>
          <w:i w:val="0"/>
          <w:color w:val="16181D"/>
          <w:sz w:val="21"/>
        </w:rPr>
        <w:t>This Agreement has an initial term of one (1) year beginning on the Effective Date. Unless either party provides written notice at least thirty (30) days prior to renewal, the Agreement will automatically renew for successive one-year terms.</w:t>
      </w:r>
    </w:p>
    <w:p>
      <w:pPr>
        <w:spacing w:before="200" w:after="60"/>
      </w:pPr>
      <w:r>
        <w:rPr>
          <w:rFonts w:ascii="Arial" w:hAnsi="Arial"/>
          <w:b/>
          <w:color w:val="16181D"/>
          <w:sz w:val="24"/>
        </w:rPr>
        <w:t>4. Payment Terms</w:t>
      </w:r>
    </w:p>
    <w:p>
      <w:pPr>
        <w:spacing w:after="80"/>
      </w:pPr>
      <w:r>
        <w:rPr>
          <w:rFonts w:ascii="Arial" w:hAnsi="Arial"/>
          <w:b w:val="0"/>
          <w:i w:val="0"/>
          <w:color w:val="16181D"/>
          <w:sz w:val="21"/>
        </w:rPr>
        <w:t>Payment may be made annually in advance, or through approved monthly automatic payment. Plan benefits remain active only while the account is current. If payment becomes delinquent beyond thirty (30) days, benefits may be temporarily suspended until brought current.</w:t>
      </w:r>
    </w:p>
    <w:p>
      <w:pPr>
        <w:spacing w:before="200" w:after="60"/>
      </w:pPr>
      <w:r>
        <w:rPr>
          <w:rFonts w:ascii="Arial" w:hAnsi="Arial"/>
          <w:b/>
          <w:color w:val="16181D"/>
          <w:sz w:val="24"/>
        </w:rPr>
        <w:t>5. Scope &amp; Limitations</w:t>
      </w:r>
    </w:p>
    <w:p>
      <w:pPr>
        <w:spacing w:after="80"/>
      </w:pPr>
      <w:r>
        <w:rPr>
          <w:rFonts w:ascii="Arial" w:hAnsi="Arial"/>
          <w:b w:val="0"/>
          <w:i w:val="0"/>
          <w:color w:val="16181D"/>
          <w:sz w:val="21"/>
        </w:rPr>
        <w:t>This plan provides preventative maintenance, system evaluation, and plan-specific benefits only. The Agreement does not include:</w:t>
      </w:r>
    </w:p>
    <w:p>
      <w:pPr>
        <w:spacing w:after="40"/>
      </w:pPr>
      <w:r>
        <w:rPr>
          <w:rFonts w:ascii="Arial" w:hAnsi="Arial"/>
          <w:b w:val="0"/>
          <w:i w:val="0"/>
          <w:color w:val="16181D"/>
          <w:sz w:val="21"/>
        </w:rPr>
        <w:t>•  Full equipment replacement</w:t>
      </w:r>
    </w:p>
    <w:p>
      <w:pPr>
        <w:spacing w:after="40"/>
      </w:pPr>
      <w:r>
        <w:rPr>
          <w:rFonts w:ascii="Arial" w:hAnsi="Arial"/>
          <w:b w:val="0"/>
          <w:i w:val="0"/>
          <w:color w:val="16181D"/>
          <w:sz w:val="21"/>
        </w:rPr>
        <w:t>•  Repairs beyond listed benefits</w:t>
      </w:r>
    </w:p>
    <w:p>
      <w:pPr>
        <w:spacing w:after="40"/>
      </w:pPr>
      <w:r>
        <w:rPr>
          <w:rFonts w:ascii="Arial" w:hAnsi="Arial"/>
          <w:b w:val="0"/>
          <w:i w:val="0"/>
          <w:color w:val="16181D"/>
          <w:sz w:val="21"/>
        </w:rPr>
        <w:t>•  Pre-existing unsafe or non-code-compliant conditions</w:t>
      </w:r>
    </w:p>
    <w:p>
      <w:pPr>
        <w:spacing w:after="40"/>
      </w:pPr>
      <w:r>
        <w:rPr>
          <w:rFonts w:ascii="Arial" w:hAnsi="Arial"/>
          <w:b w:val="0"/>
          <w:i w:val="0"/>
          <w:color w:val="16181D"/>
          <w:sz w:val="21"/>
        </w:rPr>
        <w:t>•  Structural, insulation, or non-HVAC deficiencies</w:t>
      </w:r>
    </w:p>
    <w:p>
      <w:pPr>
        <w:spacing w:after="40"/>
      </w:pPr>
      <w:r>
        <w:rPr>
          <w:rFonts w:ascii="Arial" w:hAnsi="Arial"/>
          <w:b w:val="0"/>
          <w:i w:val="0"/>
          <w:color w:val="16181D"/>
          <w:sz w:val="21"/>
        </w:rPr>
        <w:t>•  Damage caused by misuse, negligence, or external events</w:t>
      </w:r>
    </w:p>
    <w:p>
      <w:pPr>
        <w:spacing w:after="80"/>
      </w:pPr>
      <w:r>
        <w:rPr>
          <w:rFonts w:ascii="Arial" w:hAnsi="Arial"/>
          <w:b w:val="0"/>
          <w:i w:val="0"/>
          <w:color w:val="16181D"/>
          <w:sz w:val="21"/>
        </w:rPr>
        <w:t>Repair discounts apply exclusively to services performed by Empower Service or its authorized successor. Loyalty credits have no cash value, apply only toward a qualifying system replacement, require continuous membership, and expire upon lapse of coverage.</w:t>
      </w:r>
    </w:p>
    <w:p>
      <w:pPr>
        <w:spacing w:before="200" w:after="60"/>
      </w:pPr>
      <w:r>
        <w:rPr>
          <w:rFonts w:ascii="Arial" w:hAnsi="Arial"/>
          <w:b/>
          <w:color w:val="16181D"/>
          <w:sz w:val="24"/>
        </w:rPr>
        <w:t>6. Property Transfer</w:t>
      </w:r>
    </w:p>
    <w:p>
      <w:pPr>
        <w:spacing w:after="80"/>
      </w:pPr>
      <w:r>
        <w:rPr>
          <w:rFonts w:ascii="Arial" w:hAnsi="Arial"/>
          <w:b w:val="0"/>
          <w:i w:val="0"/>
          <w:color w:val="16181D"/>
          <w:sz w:val="21"/>
        </w:rPr>
        <w:t>If the property is sold, Signature Plan memberships may transfer to the new homeowner for the remaining term upon written notification to Company. Other plans may transfer at Company’s discretion.</w:t>
      </w:r>
    </w:p>
    <w:p>
      <w:pPr>
        <w:spacing w:before="200" w:after="60"/>
      </w:pPr>
      <w:r>
        <w:rPr>
          <w:rFonts w:ascii="Arial" w:hAnsi="Arial"/>
          <w:b/>
          <w:color w:val="16181D"/>
          <w:sz w:val="24"/>
        </w:rPr>
        <w:t>7. Assignment &amp; Service Continuity</w:t>
      </w:r>
    </w:p>
    <w:p>
      <w:pPr>
        <w:spacing w:after="80"/>
      </w:pPr>
      <w:r>
        <w:rPr>
          <w:rFonts w:ascii="Arial" w:hAnsi="Arial"/>
          <w:b w:val="0"/>
          <w:i w:val="0"/>
          <w:color w:val="16181D"/>
          <w:sz w:val="21"/>
        </w:rPr>
        <w:t>To ensure uninterrupted service and long-term stability, Client acknowledges and agrees that Empower Service may assign or transfer this Agreement to a successor entity, an affiliated company, a newly formed company under common ownership, or an acquiring company, provided that the successor maintains equal or greater service standards, all remaining plan benefits are honored, and the Client experiences no material reduction in service during the active term. Client consent to such assignment is granted upon execution of this Agreement. This provision exists solely to allow operational continuity in the event of company restructuring, growth, merger, sale, or reorganization.</w:t>
      </w:r>
    </w:p>
    <w:p>
      <w:pPr>
        <w:spacing w:before="200" w:after="60"/>
      </w:pPr>
      <w:r>
        <w:rPr>
          <w:rFonts w:ascii="Arial" w:hAnsi="Arial"/>
          <w:b/>
          <w:color w:val="16181D"/>
          <w:sz w:val="24"/>
        </w:rPr>
        <w:t>8. Cancellation</w:t>
      </w:r>
    </w:p>
    <w:p>
      <w:pPr>
        <w:spacing w:after="80"/>
      </w:pPr>
      <w:r>
        <w:rPr>
          <w:rFonts w:ascii="Arial" w:hAnsi="Arial"/>
          <w:b w:val="0"/>
          <w:i w:val="0"/>
          <w:color w:val="16181D"/>
          <w:sz w:val="21"/>
        </w:rPr>
        <w:t>Client may cancel this Agreement at any time with written notice. If canceled, charges will be prorated based on services already performed; any applied discounts exceeding paid value may be deducted from the refund; and loyalty credits will be forfeited. Company may cancel this Agreement for non-payment, unsafe conditions, or inability to safely service equipment, in which case a prorated refund may apply.</w:t>
      </w:r>
    </w:p>
    <w:p>
      <w:pPr>
        <w:spacing w:before="200" w:after="60"/>
      </w:pPr>
      <w:r>
        <w:rPr>
          <w:rFonts w:ascii="Arial" w:hAnsi="Arial"/>
          <w:b/>
          <w:color w:val="16181D"/>
          <w:sz w:val="24"/>
        </w:rPr>
        <w:t>9. Dispute Resolution</w:t>
      </w:r>
    </w:p>
    <w:p>
      <w:pPr>
        <w:spacing w:after="80"/>
      </w:pPr>
      <w:r>
        <w:rPr>
          <w:rFonts w:ascii="Arial" w:hAnsi="Arial"/>
          <w:b w:val="0"/>
          <w:i w:val="0"/>
          <w:color w:val="16181D"/>
          <w:sz w:val="21"/>
        </w:rPr>
        <w:t>Empower Service values long-term client relationships and will make every reasonable effort to resolve concerns professionally and promptly. If a dispute cannot be resolved informally, both parties agree to first attempt mediation in good faith. If mediation is unsuccessful, disputes shall be resolved through binding arbitration conducted in the county where services are performed, in accordance with applicable state arbitration laws. Each party shall bear its own legal costs unless otherwise determined by the arbitrator.</w:t>
      </w:r>
    </w:p>
    <w:p>
      <w:pPr>
        <w:spacing w:before="200" w:after="60"/>
      </w:pPr>
      <w:r>
        <w:rPr>
          <w:rFonts w:ascii="Arial" w:hAnsi="Arial"/>
          <w:b/>
          <w:color w:val="16181D"/>
          <w:sz w:val="24"/>
        </w:rPr>
        <w:t>10. Limitation of Liability</w:t>
      </w:r>
    </w:p>
    <w:p>
      <w:pPr>
        <w:spacing w:after="80"/>
      </w:pPr>
      <w:r>
        <w:rPr>
          <w:rFonts w:ascii="Arial" w:hAnsi="Arial"/>
          <w:b w:val="0"/>
          <w:i w:val="0"/>
          <w:color w:val="16181D"/>
          <w:sz w:val="21"/>
        </w:rPr>
        <w:t>Company’s total liability under this Agreement shall not exceed the total annual amount paid by Client for the current term. Nothing in this section limits liability for gross negligence or willful misconduct.</w:t>
      </w:r>
    </w:p>
    <w:p>
      <w:pPr>
        <w:spacing w:before="200" w:after="60"/>
      </w:pPr>
      <w:r>
        <w:rPr>
          <w:rFonts w:ascii="Arial" w:hAnsi="Arial"/>
          <w:b/>
          <w:color w:val="16181D"/>
          <w:sz w:val="24"/>
        </w:rPr>
        <w:t>11. Governing Law</w:t>
      </w:r>
    </w:p>
    <w:p>
      <w:pPr>
        <w:spacing w:after="80"/>
      </w:pPr>
      <w:r>
        <w:rPr>
          <w:rFonts w:ascii="Arial" w:hAnsi="Arial"/>
          <w:b w:val="0"/>
          <w:i w:val="0"/>
          <w:color w:val="16181D"/>
          <w:sz w:val="21"/>
        </w:rPr>
        <w:t>This Agreement shall be governed by and interpreted under the laws of the State in which the serviced property is located.</w:t>
      </w:r>
    </w:p>
    <w:p>
      <w:pPr>
        <w:spacing w:before="200" w:after="60"/>
      </w:pPr>
      <w:r>
        <w:rPr>
          <w:rFonts w:ascii="Arial" w:hAnsi="Arial"/>
          <w:b/>
          <w:color w:val="16181D"/>
          <w:sz w:val="24"/>
        </w:rPr>
        <w:t>12. Entire Agreement</w:t>
      </w:r>
    </w:p>
    <w:p>
      <w:pPr>
        <w:spacing w:after="80"/>
      </w:pPr>
      <w:r>
        <w:rPr>
          <w:rFonts w:ascii="Arial" w:hAnsi="Arial"/>
          <w:b w:val="0"/>
          <w:i w:val="0"/>
          <w:color w:val="16181D"/>
          <w:sz w:val="21"/>
        </w:rPr>
        <w:t>This document, along with the selected Plan Summary, represents the entire Agreement between the parties and supersedes prior verbal or written representations. Any modifications must be made in writing and signed by both parties.</w:t>
      </w:r>
    </w:p>
    <w:p>
      <w:pPr>
        <w:spacing w:after="160"/>
      </w:pPr>
      <w:r>
        <w:rPr>
          <w:rFonts w:ascii="Arial" w:hAnsi="Arial"/>
          <w:b w:val="0"/>
          <w:i w:val="0"/>
          <w:color w:val="16181D"/>
          <w:sz w:val="22"/>
        </w:rPr>
      </w:r>
    </w:p>
    <w:p>
      <w:pPr>
        <w:spacing w:after="60"/>
      </w:pPr>
      <w:r>
        <w:rPr>
          <w:rFonts w:ascii="Arial" w:hAnsi="Arial"/>
          <w:b w:val="0"/>
          <w:i w:val="0"/>
          <w:color w:val="16181D"/>
          <w:sz w:val="22"/>
        </w:rPr>
        <w:t>Client Signature: ___________________________    Date: __________</w:t>
      </w:r>
    </w:p>
    <w:p>
      <w:pPr>
        <w:spacing w:after="60"/>
      </w:pPr>
      <w:r>
        <w:rPr>
          <w:rFonts w:ascii="Arial" w:hAnsi="Arial"/>
          <w:b w:val="0"/>
          <w:i w:val="0"/>
          <w:color w:val="16181D"/>
          <w:sz w:val="22"/>
        </w:rPr>
        <w:t>Printed Name: _______________________________</w:t>
      </w:r>
    </w:p>
    <w:p>
      <w:pPr>
        <w:spacing w:after="60"/>
      </w:pPr>
      <w:r>
        <w:rPr>
          <w:rFonts w:ascii="Arial" w:hAnsi="Arial"/>
          <w:b w:val="0"/>
          <w:i w:val="0"/>
          <w:color w:val="16181D"/>
          <w:sz w:val="22"/>
        </w:rPr>
        <w:t>Empower Service Representative: ___________________________</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